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Procurement-specific Service Levels should be incorporated]</w:t>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3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03E">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043">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Accurate and timely billing of Buyer</w:t>
            </w:r>
          </w:p>
          <w:p w:rsidR="00000000" w:rsidDel="00000000" w:rsidP="00000000" w:rsidRDefault="00000000" w:rsidRPr="00000000" w14:paraId="00000044">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Accuracy /Timelines</w:t>
            </w:r>
          </w:p>
          <w:p w:rsidR="00000000" w:rsidDel="00000000" w:rsidP="00000000" w:rsidRDefault="00000000" w:rsidRPr="00000000" w14:paraId="0000004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4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04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Access to Buyer support</w:t>
            </w:r>
          </w:p>
          <w:p w:rsidR="00000000" w:rsidDel="00000000" w:rsidP="00000000" w:rsidRDefault="00000000" w:rsidRPr="00000000" w14:paraId="0000004C">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Availability</w:t>
            </w:r>
          </w:p>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at least 98% at all times</w:t>
            </w:r>
          </w:p>
          <w:p w:rsidR="00000000" w:rsidDel="00000000" w:rsidP="00000000" w:rsidRDefault="00000000" w:rsidRPr="00000000" w14:paraId="00000051">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0.5% Service Credit gained for each percentage under the specified Service Level Performance Measure</w:t>
            </w:r>
          </w:p>
        </w:tc>
      </w:tr>
    </w:tbl>
    <w:p w:rsidR="00000000" w:rsidDel="00000000" w:rsidP="00000000" w:rsidRDefault="00000000" w:rsidRPr="00000000" w14:paraId="0000005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5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5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c>
          <w:tcPr/>
          <w:p w:rsidR="00000000" w:rsidDel="00000000" w:rsidP="00000000" w:rsidRDefault="00000000" w:rsidRPr="00000000" w14:paraId="0000005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5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c>
          <w:tcPr/>
          <w:p w:rsidR="00000000" w:rsidDel="00000000" w:rsidP="00000000" w:rsidRDefault="00000000" w:rsidRPr="00000000" w14:paraId="0000005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5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5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5F">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2">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6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6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6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69">
      <w:pPr>
        <w:keepNext w:val="1"/>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6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6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6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6D">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6E">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1">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RM6225 Audio Visual Technical Consultancy &amp; Commissioning</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eOXknV7bO//GAOItMQ3w8jTAwA==">AMUW2mUUcouhZnuyWXD+1tozk+ZvmTcKVh9dWICLykuzypJXHpF5M14U9U6wk/hfPgGWtV91uZOjaca+8yO+mgxRdidOWnr6KisqigtyNrKSORI/RxrA9KX8E+YihGG+vnrzUmUg67aB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2019-08-12T10:46:00Z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